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9BFA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513647</w:t>
      </w:r>
      <w:bookmarkStart w:id="10" w:name="_GoBack"/>
      <w:bookmarkEnd w:id="10"/>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eastAsia" w:ascii="Times New Roman" w:hAnsi="Times New Roman" w:eastAsia="宋体" w:cs="Times New Roman"/>
          <w:b/>
          <w:sz w:val="24"/>
          <w:szCs w:val="24"/>
          <w:lang w:val="en-US" w:eastAsia="zh-CN"/>
        </w:rPr>
        <w:t xml:space="preserve"> </w:t>
      </w:r>
      <w:r>
        <w:rPr>
          <w:rFonts w:hint="default" w:ascii="Times New Roman" w:hAnsi="Times New Roman" w:cs="Times New Roman"/>
          <w:b/>
          <w:bCs/>
          <w:sz w:val="24"/>
          <w:highlight w:val="none"/>
        </w:rPr>
        <w:t>2025</w:t>
      </w:r>
    </w:p>
    <w:p w14:paraId="0C560141">
      <w:pPr>
        <w:tabs>
          <w:tab w:val="left" w:pos="1985"/>
        </w:tabs>
        <w:rPr>
          <w:rFonts w:ascii="Times New Roman" w:hAnsi="Times New Roman"/>
          <w:b/>
          <w:sz w:val="22"/>
          <w:highlight w:val="none"/>
        </w:rPr>
      </w:pPr>
    </w:p>
    <w:p w14:paraId="59468D55">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4</w:t>
      </w:r>
      <w:r>
        <w:rPr>
          <w:rFonts w:ascii="Times New Roman" w:hAnsi="Times New Roman"/>
          <w:sz w:val="22"/>
          <w:highlight w:val="none"/>
        </w:rPr>
        <w:t>.</w:t>
      </w:r>
      <w:r>
        <w:rPr>
          <w:rFonts w:hint="eastAsia" w:ascii="Times New Roman" w:hAnsi="Times New Roman"/>
          <w:sz w:val="22"/>
          <w:highlight w:val="none"/>
          <w:lang w:val="en-US" w:eastAsia="zh-CN"/>
        </w:rPr>
        <w:t>23</w:t>
      </w:r>
      <w:r>
        <w:rPr>
          <w:rFonts w:hint="eastAsia" w:ascii="Times New Roman" w:hAnsi="Times New Roman"/>
          <w:sz w:val="22"/>
          <w:highlight w:val="none"/>
        </w:rPr>
        <w:t>.</w:t>
      </w:r>
      <w:r>
        <w:rPr>
          <w:rFonts w:hint="eastAsia" w:ascii="Times New Roman" w:hAnsi="Times New Roman"/>
          <w:sz w:val="22"/>
          <w:highlight w:val="none"/>
          <w:lang w:val="en-US" w:eastAsia="zh-CN"/>
        </w:rPr>
        <w:t>1</w:t>
      </w:r>
    </w:p>
    <w:p w14:paraId="1F1B280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5D3DC2C7">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event triggered L1 measurement reporting</w:t>
      </w:r>
    </w:p>
    <w:bookmarkEnd w:id="4"/>
    <w:bookmarkEnd w:id="5"/>
    <w:p w14:paraId="58A2DA4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41F9F1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72C029F">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#107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1E7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F3D9A2B">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0FA7B20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2D1C8E0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0C48CA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A2B5C89">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4D6BB9D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4B682715">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1CDE32E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7B90E04D">
            <w:pPr>
              <w:rPr>
                <w:rFonts w:hint="default" w:ascii="Times New Roman" w:hAnsi="Times New Roman" w:cs="Times New Roman"/>
                <w:sz w:val="20"/>
                <w:szCs w:val="20"/>
                <w:highlight w:val="cyan"/>
              </w:rPr>
            </w:pPr>
          </w:p>
          <w:p w14:paraId="48DB8AA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245D280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2964379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3449945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1570B4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DF003E0">
            <w:pPr>
              <w:pStyle w:val="13"/>
              <w:ind w:left="360" w:firstLine="360"/>
              <w:rPr>
                <w:rFonts w:hint="default" w:ascii="Times New Roman" w:hAnsi="Times New Roman" w:cs="Times New Roman"/>
                <w:sz w:val="20"/>
                <w:szCs w:val="20"/>
              </w:rPr>
            </w:pPr>
          </w:p>
          <w:p w14:paraId="1B714048">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1F39107D">
            <w:pPr>
              <w:rPr>
                <w:rFonts w:hint="default" w:ascii="Times New Roman" w:hAnsi="Times New Roman" w:cs="Times New Roman"/>
                <w:sz w:val="20"/>
                <w:szCs w:val="20"/>
              </w:rPr>
            </w:pPr>
          </w:p>
          <w:p w14:paraId="3B01BDEE">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7E97777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58675DE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56E2DF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58DA3F55">
            <w:pPr>
              <w:rPr>
                <w:rFonts w:hint="default" w:ascii="Times New Roman" w:hAnsi="Times New Roman" w:cs="Times New Roman"/>
                <w:sz w:val="20"/>
                <w:szCs w:val="20"/>
              </w:rPr>
            </w:pPr>
          </w:p>
          <w:p w14:paraId="026186E9">
            <w:pPr>
              <w:numPr>
                <w:ilvl w:val="0"/>
                <w:numId w:val="3"/>
              </w:numPr>
              <w:spacing w:after="0"/>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Specify RRM requirements related to the above objectives as necessary [RAN4]</w:t>
            </w:r>
          </w:p>
        </w:tc>
      </w:tr>
    </w:tbl>
    <w:p w14:paraId="5FA70F8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the remaining issue for event triggered L1 measurement reporting</w:t>
      </w:r>
      <w:r>
        <w:rPr>
          <w:rFonts w:hint="eastAsia" w:ascii="Times New Roman" w:hAnsi="Times New Roman"/>
          <w:sz w:val="20"/>
          <w:szCs w:val="20"/>
        </w:rPr>
        <w:t>.</w:t>
      </w:r>
    </w:p>
    <w:p w14:paraId="5708A40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2D15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B975EC3">
            <w:pPr>
              <w:pStyle w:val="5"/>
              <w:numPr>
                <w:ilvl w:val="0"/>
                <w:numId w:val="0"/>
              </w:numPr>
              <w:tabs>
                <w:tab w:val="left" w:pos="432"/>
                <w:tab w:val="clear" w:pos="864"/>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2-2: whether to introduce/update requirements for reporting criteria per measurement category</w:t>
            </w:r>
          </w:p>
          <w:p w14:paraId="591B4B7C">
            <w:pPr>
              <w:spacing w:after="120"/>
              <w:rPr>
                <w:rFonts w:hint="default" w:ascii="Times New Roman" w:hAnsi="Times New Roman" w:cs="Times New Roman"/>
                <w:b/>
                <w:bCs/>
                <w:color w:val="000000" w:themeColor="text1"/>
                <w:sz w:val="20"/>
                <w:szCs w:val="20"/>
                <w14:textFill>
                  <w14:solidFill>
                    <w14:schemeClr w14:val="tx1"/>
                  </w14:solidFill>
                </w14:textFill>
              </w:rPr>
            </w:pPr>
            <w:r>
              <w:rPr>
                <w:rFonts w:hint="default" w:ascii="Times New Roman" w:hAnsi="Times New Roman" w:cs="Times New Roman"/>
                <w:b/>
                <w:bCs/>
                <w:color w:val="000000" w:themeColor="text1"/>
                <w:sz w:val="20"/>
                <w:szCs w:val="20"/>
                <w14:textFill>
                  <w14:solidFill>
                    <w14:schemeClr w14:val="tx1"/>
                  </w14:solidFill>
                </w14:textFill>
              </w:rPr>
              <w:t>Candidate options:</w:t>
            </w:r>
          </w:p>
          <w:p w14:paraId="328BCCF7">
            <w:pPr>
              <w:pStyle w:val="14"/>
              <w:numPr>
                <w:ilvl w:val="0"/>
                <w:numId w:val="4"/>
              </w:numPr>
              <w:spacing w:after="120"/>
              <w:ind w:firstLineChars="0"/>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 xml:space="preserve">Option 1: </w:t>
            </w:r>
            <w:r>
              <w:rPr>
                <w:rFonts w:hint="default" w:ascii="Times New Roman" w:hAnsi="Times New Roman" w:eastAsia="宋体" w:cs="Times New Roman"/>
                <w:bCs/>
                <w:color w:val="000000" w:themeColor="text1"/>
                <w:sz w:val="20"/>
                <w:szCs w:val="20"/>
                <w:lang w:val="en-GB"/>
                <w14:textFill>
                  <w14:solidFill>
                    <w14:schemeClr w14:val="tx1"/>
                  </w14:solidFill>
                </w14:textFill>
              </w:rPr>
              <w:t xml:space="preserve">define new requirements of </w:t>
            </w:r>
            <w:r>
              <w:rPr>
                <w:rFonts w:hint="default" w:ascii="Times New Roman" w:hAnsi="Times New Roman" w:cs="Times New Roman"/>
                <w:sz w:val="20"/>
                <w:szCs w:val="20"/>
              </w:rPr>
              <w:t>Capabilities for Support of Event Triggering and Reporting Criteria</w:t>
            </w:r>
            <w:r>
              <w:rPr>
                <w:rFonts w:hint="default" w:ascii="Times New Roman" w:hAnsi="Times New Roman" w:eastAsia="宋体" w:cs="Times New Roman"/>
                <w:bCs/>
                <w:color w:val="000000" w:themeColor="text1"/>
                <w:sz w:val="20"/>
                <w:szCs w:val="20"/>
                <w:lang w:val="en-GB"/>
                <w14:textFill>
                  <w14:solidFill>
                    <w14:schemeClr w14:val="tx1"/>
                  </w14:solidFill>
                </w14:textFill>
              </w:rPr>
              <w:t xml:space="preserve"> UE capability for LTM (CATT, Nokia, CTC, OPPO, Xiaomi, MTK, CMCC, vivo, ZTE, E///)</w:t>
            </w:r>
          </w:p>
          <w:p w14:paraId="223B40A2">
            <w:pPr>
              <w:pStyle w:val="14"/>
              <w:numPr>
                <w:ilvl w:val="1"/>
                <w:numId w:val="4"/>
              </w:numPr>
              <w:spacing w:after="120"/>
              <w:ind w:firstLineChars="0"/>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 xml:space="preserve">Option 1a: </w:t>
            </w:r>
            <w:r>
              <w:rPr>
                <w:rFonts w:hint="default" w:ascii="Times New Roman" w:hAnsi="Times New Roman" w:eastAsia="宋体" w:cs="Times New Roman"/>
                <w:bCs/>
                <w:color w:val="000000" w:themeColor="text1"/>
                <w:sz w:val="20"/>
                <w:szCs w:val="20"/>
                <w14:textFill>
                  <w14:solidFill>
                    <w14:schemeClr w14:val="tx1"/>
                  </w14:solidFill>
                </w14:textFill>
              </w:rPr>
              <w:t>Introduce reported UE capabilities for supported number of events triggered L1 measurement reporting. The candidate values are {4, 8, 12, 16}. (MTK)</w:t>
            </w:r>
          </w:p>
          <w:p w14:paraId="748D30D7">
            <w:pPr>
              <w:pStyle w:val="14"/>
              <w:numPr>
                <w:ilvl w:val="1"/>
                <w:numId w:val="4"/>
              </w:numPr>
              <w:spacing w:after="120"/>
              <w:ind w:firstLineChars="0"/>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bCs/>
                <w:color w:val="000000" w:themeColor="text1"/>
                <w:sz w:val="20"/>
                <w:szCs w:val="20"/>
                <w14:textFill>
                  <w14:solidFill>
                    <w14:schemeClr w14:val="tx1"/>
                  </w14:solidFill>
                </w14:textFill>
              </w:rPr>
              <w:t>Option 1b: vivo</w:t>
            </w:r>
          </w:p>
          <w:p w14:paraId="4F787268">
            <w:pPr>
              <w:pStyle w:val="14"/>
              <w:numPr>
                <w:ilvl w:val="2"/>
                <w:numId w:val="4"/>
              </w:numPr>
              <w:spacing w:after="120"/>
              <w:ind w:firstLineChars="0"/>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lang w:val="en-GB"/>
                <w14:textFill>
                  <w14:solidFill>
                    <w14:schemeClr w14:val="tx1"/>
                  </w14:solidFill>
                </w14:textFill>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257EB305">
            <w:pPr>
              <w:pStyle w:val="14"/>
              <w:numPr>
                <w:ilvl w:val="2"/>
                <w:numId w:val="4"/>
              </w:numPr>
              <w:spacing w:after="120"/>
              <w:ind w:firstLineChars="0"/>
              <w:rPr>
                <w:rFonts w:hint="default" w:ascii="Times New Roman" w:hAnsi="Times New Roman" w:eastAsia="宋体" w:cs="Times New Roman"/>
                <w:bCs/>
                <w:color w:val="000000" w:themeColor="text1"/>
                <w:sz w:val="20"/>
                <w:szCs w:val="20"/>
                <w14:textFill>
                  <w14:solidFill>
                    <w14:schemeClr w14:val="tx1"/>
                  </w14:solidFill>
                </w14:textFill>
              </w:rPr>
            </w:pPr>
            <w:r>
              <w:rPr>
                <w:rFonts w:hint="default" w:ascii="Times New Roman" w:hAnsi="Times New Roman" w:eastAsia="宋体" w:cs="Times New Roman"/>
                <w:bCs/>
                <w:color w:val="000000" w:themeColor="text1"/>
                <w:sz w:val="20"/>
                <w:szCs w:val="20"/>
                <w:lang w:val="en-GB"/>
                <w14:textFill>
                  <w14:solidFill>
                    <w14:schemeClr w14:val="tx1"/>
                  </w14:solidFill>
                </w14:textFill>
              </w:rPr>
              <w:t>Reporting criteria for LTM event triggered reporting is 4 per frequency layer.</w:t>
            </w:r>
          </w:p>
          <w:p w14:paraId="5251D515">
            <w:pPr>
              <w:pStyle w:val="14"/>
              <w:numPr>
                <w:ilvl w:val="2"/>
                <w:numId w:val="4"/>
              </w:numPr>
              <w:spacing w:after="120"/>
              <w:ind w:firstLineChars="0"/>
              <w:rPr>
                <w:rFonts w:hint="default" w:ascii="Times New Roman" w:hAnsi="Times New Roman" w:eastAsia="宋体" w:cs="Times New Roman"/>
                <w:bCs/>
                <w:color w:val="000000" w:themeColor="text1"/>
                <w:sz w:val="20"/>
                <w:szCs w:val="20"/>
                <w14:textFill>
                  <w14:solidFill>
                    <w14:schemeClr w14:val="tx1"/>
                  </w14:solidFill>
                </w14:textFill>
              </w:rPr>
            </w:pPr>
            <w:r>
              <w:rPr>
                <w:rFonts w:hint="default" w:ascii="Times New Roman" w:hAnsi="Times New Roman" w:eastAsia="宋体" w:cs="Times New Roman"/>
                <w:bCs/>
                <w:color w:val="000000" w:themeColor="text1"/>
                <w:sz w:val="20"/>
                <w:szCs w:val="20"/>
                <w:lang w:val="en-GB"/>
                <w14:textFill>
                  <w14:solidFill>
                    <w14:schemeClr w14:val="tx1"/>
                  </w14:solidFill>
                </w14:textFill>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2E18C870">
            <w:pPr>
              <w:pStyle w:val="14"/>
              <w:numPr>
                <w:ilvl w:val="1"/>
                <w:numId w:val="4"/>
              </w:numPr>
              <w:spacing w:after="120"/>
              <w:ind w:firstLineChars="0"/>
              <w:rPr>
                <w:rFonts w:hint="default" w:ascii="Times New Roman" w:hAnsi="Times New Roman" w:eastAsia="宋体" w:cs="Times New Roman"/>
                <w:bCs/>
                <w:color w:val="000000" w:themeColor="text1"/>
                <w:sz w:val="20"/>
                <w:szCs w:val="20"/>
                <w14:textFill>
                  <w14:solidFill>
                    <w14:schemeClr w14:val="tx1"/>
                  </w14:solidFill>
                </w14:textFill>
              </w:rPr>
            </w:pPr>
            <w:r>
              <w:rPr>
                <w:rFonts w:hint="default" w:ascii="Times New Roman" w:hAnsi="Times New Roman" w:eastAsia="宋体" w:cs="Times New Roman"/>
                <w:bCs/>
                <w:color w:val="000000" w:themeColor="text1"/>
                <w:sz w:val="20"/>
                <w:szCs w:val="20"/>
                <w:lang w:val="en-GB"/>
                <w14:textFill>
                  <w14:solidFill>
                    <w14:schemeClr w14:val="tx1"/>
                  </w14:solidFill>
                </w14:textFill>
              </w:rPr>
              <w:t>Option 1c: E///</w:t>
            </w:r>
          </w:p>
          <w:p w14:paraId="7347B81E">
            <w:pPr>
              <w:pStyle w:val="14"/>
              <w:numPr>
                <w:ilvl w:val="2"/>
                <w:numId w:val="4"/>
              </w:numPr>
              <w:spacing w:after="120"/>
              <w:ind w:firstLineChars="0"/>
              <w:rPr>
                <w:rFonts w:hint="default" w:ascii="Times New Roman" w:hAnsi="Times New Roman" w:eastAsia="宋体" w:cs="Times New Roman"/>
                <w:bCs/>
                <w:color w:val="000000" w:themeColor="text1"/>
                <w:sz w:val="20"/>
                <w:szCs w:val="20"/>
                <w14:textFill>
                  <w14:solidFill>
                    <w14:schemeClr w14:val="tx1"/>
                  </w14:solidFill>
                </w14:textFill>
              </w:rPr>
            </w:pPr>
            <w:r>
              <w:rPr>
                <w:rFonts w:hint="default" w:ascii="Times New Roman" w:hAnsi="Times New Roman" w:eastAsia="宋体" w:cs="Times New Roman"/>
                <w:bCs/>
                <w:color w:val="000000" w:themeColor="text1"/>
                <w:sz w:val="20"/>
                <w:szCs w:val="20"/>
                <w14:textFill>
                  <w14:solidFill>
                    <w14:schemeClr w14:val="tx1"/>
                  </w14:solidFill>
                </w14:textFill>
              </w:rPr>
              <w:t>RAN4 to agree 72 as the L1 measurement reporting criteria for a UE supporting event triggered measurement reporting</w:t>
            </w:r>
          </w:p>
          <w:p w14:paraId="3842F8BF">
            <w:pPr>
              <w:pStyle w:val="14"/>
              <w:numPr>
                <w:ilvl w:val="0"/>
                <w:numId w:val="4"/>
              </w:numPr>
              <w:spacing w:after="120"/>
              <w:ind w:firstLineChars="0"/>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 xml:space="preserve">Option 2: </w:t>
            </w:r>
            <w:bookmarkStart w:id="8" w:name="_Toc197674422"/>
            <w:bookmarkStart w:id="9" w:name="_Toc205900225"/>
            <w:r>
              <w:rPr>
                <w:rFonts w:hint="default" w:ascii="Times New Roman" w:hAnsi="Times New Roman" w:cs="Times New Roman"/>
                <w:sz w:val="20"/>
                <w:szCs w:val="20"/>
              </w:rPr>
              <w:t>extend existing Ecat to support LTM intra- and inter-frequency L1 events for SSB and CSI-RS based reporting on top of the existing L3 events in section 9.1.4</w:t>
            </w:r>
            <w:bookmarkEnd w:id="8"/>
            <w:bookmarkEnd w:id="9"/>
            <w:r>
              <w:rPr>
                <w:rFonts w:hint="default" w:ascii="Times New Roman" w:hAnsi="Times New Roman" w:eastAsia="宋体" w:cs="Times New Roman"/>
                <w:bCs/>
                <w:color w:val="000000" w:themeColor="text1"/>
                <w:sz w:val="20"/>
                <w:szCs w:val="20"/>
                <w14:textFill>
                  <w14:solidFill>
                    <w14:schemeClr w14:val="tx1"/>
                  </w14:solidFill>
                </w14:textFill>
              </w:rPr>
              <w:t>. (Nokia, OPPO)</w:t>
            </w:r>
          </w:p>
          <w:p w14:paraId="23371B6C">
            <w:pPr>
              <w:spacing w:after="120"/>
              <w:rPr>
                <w:rFonts w:hint="default" w:ascii="Times New Roman" w:hAnsi="Times New Roman" w:cs="Times New Roman"/>
                <w:b/>
                <w:bCs/>
                <w:color w:val="000000" w:themeColor="text1"/>
                <w:sz w:val="20"/>
                <w:szCs w:val="20"/>
                <w14:textFill>
                  <w14:solidFill>
                    <w14:schemeClr w14:val="tx1"/>
                  </w14:solidFill>
                </w14:textFill>
              </w:rPr>
            </w:pPr>
            <w:r>
              <w:rPr>
                <w:rFonts w:hint="default" w:ascii="Times New Roman" w:hAnsi="Times New Roman" w:cs="Times New Roman"/>
                <w:b/>
                <w:bCs/>
                <w:color w:val="000000" w:themeColor="text1"/>
                <w:sz w:val="20"/>
                <w:szCs w:val="20"/>
                <w14:textFill>
                  <w14:solidFill>
                    <w14:schemeClr w14:val="tx1"/>
                  </w14:solidFill>
                </w14:textFill>
              </w:rPr>
              <w:t xml:space="preserve">Agreement: </w:t>
            </w:r>
          </w:p>
          <w:p w14:paraId="53CC975E">
            <w:pPr>
              <w:numPr>
                <w:ilvl w:val="0"/>
                <w:numId w:val="4"/>
              </w:numPr>
              <w:spacing w:after="120"/>
              <w:rPr>
                <w:rFonts w:hint="default" w:ascii="Times New Roman" w:hAnsi="Times New Roman" w:eastAsia="宋体" w:cs="Times New Roman"/>
                <w:bCs/>
                <w:color w:val="000000"/>
                <w:sz w:val="20"/>
                <w:szCs w:val="20"/>
              </w:rPr>
            </w:pPr>
            <w:r>
              <w:rPr>
                <w:rFonts w:hint="default" w:ascii="Times New Roman" w:hAnsi="Times New Roman" w:eastAsia="宋体" w:cs="Times New Roman"/>
                <w:bCs/>
                <w:color w:val="000000"/>
                <w:sz w:val="20"/>
                <w:szCs w:val="20"/>
              </w:rPr>
              <w:t>No consensus on the necessity to introduce/update requirements for reporting criteria per measurement category.</w:t>
            </w:r>
          </w:p>
          <w:p w14:paraId="1A706A4E">
            <w:pPr>
              <w:numPr>
                <w:ilvl w:val="0"/>
                <w:numId w:val="4"/>
              </w:numPr>
              <w:spacing w:after="12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bCs/>
                <w:color w:val="000000"/>
                <w:sz w:val="20"/>
                <w:szCs w:val="20"/>
              </w:rPr>
              <w:t>The issue does not impact the WI core part completion, and interested companies can further discuss this issue in maintenance phase based on contribution driven.</w:t>
            </w:r>
          </w:p>
        </w:tc>
      </w:tr>
    </w:tbl>
    <w:p w14:paraId="6896427F">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461E0B0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sz w:val="20"/>
          <w:szCs w:val="20"/>
          <w:lang w:val="en-US" w:eastAsia="zh-CN"/>
        </w:rPr>
        <w:t xml:space="preserve">For legacy event triggered L3 measurement reporting, the capabilities for support of event triggering reporting criteria are defined (section 9.1.4, TS38.133). Similarly, for Rel-19 event triggered L1 measurement reporting, it is necessary to define the capability. However, according to the discussion in last meeting, some companies mentioned that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the number of events to be supported by UE shall be discussed in RAN1 first.</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 We do not have strong view. But at least according to our knowledge, RAN1 have not discussed this. LS to RAN1 can be considered if necessary.</w:t>
      </w:r>
    </w:p>
    <w:p w14:paraId="2DEC9E9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We do not have strong view on whether to to introduce requirements for reporting criteria per measurement category. From our side, the key issue is if it is agreed to define capability for supported number of events triggered L1 measurement reporting in RAN4, how to define the capabilities for support of event triggering L1 measurement reporting, whether to update L3 capability or to define a seperate capability for L1 measurement reporting. In our view, a seperate capability is prefered. It is not a good way to replace or update legacy capability for event triggered L3 measurement reporting. For Rel-18 LTM measurement, the requirements are applied with the condition that the cell is known, which means that L3 measurement need to be configured. And also, network may adjust LTM configuration based on L3 measurement report.</w:t>
      </w:r>
    </w:p>
    <w:p w14:paraId="0D3D0E4F">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no strong view on whether to define capability for supported number of events triggered L1 measurement reporting in RAN4. But if it is agreed to define, it is proposed to define a separate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to avoid the impact on L3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p w14:paraId="17171AD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bookmarkEnd w:id="6"/>
    <w:bookmarkEnd w:id="7"/>
    <w:p w14:paraId="5187A4B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46578F3">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event triggered L1 measurement reporting. The proposals are:</w:t>
      </w:r>
    </w:p>
    <w:p w14:paraId="7C37B88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no strong view on whether to define capability for supported number of events triggered L1 measurement reporting in RAN4. But if it is agreed to define, it is proposed to define a separate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to avoid the impact on L3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p w14:paraId="3AF62859">
      <w:pPr>
        <w:tabs>
          <w:tab w:val="left" w:pos="1134"/>
        </w:tabs>
        <w:spacing w:after="180" w:line="240" w:lineRule="exact"/>
        <w:rPr>
          <w:rFonts w:hint="eastAsia" w:ascii="Times New Roman" w:hAnsi="Times New Roman"/>
          <w:sz w:val="20"/>
          <w:szCs w:val="20"/>
          <w:highlight w:val="none"/>
        </w:rPr>
      </w:pPr>
    </w:p>
    <w:p w14:paraId="6F7B87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14CA13B">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038FF42">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w:t>
      </w:r>
      <w:r>
        <w:rPr>
          <w:rFonts w:hint="eastAsia" w:ascii="Times" w:hAnsi="Times" w:eastAsia="宋体"/>
          <w:b w:val="0"/>
          <w:sz w:val="20"/>
          <w:lang w:val="en-US" w:eastAsia="zh-CN"/>
        </w:rPr>
        <w:t xml:space="preserve">50339, </w:t>
      </w:r>
      <w:r>
        <w:rPr>
          <w:rFonts w:hint="eastAsia" w:ascii="Times" w:hAnsi="Times" w:eastAsia="宋体"/>
          <w:b w:val="0"/>
          <w:sz w:val="20"/>
          <w:lang w:eastAsia="zh-CN"/>
        </w:rPr>
        <w:t xml:space="preserve">Revised Work Item: NR mobility enhancements Phase 4 </w:t>
      </w:r>
    </w:p>
    <w:p w14:paraId="642EB7BE">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R4-2512141</w:t>
      </w:r>
      <w:r>
        <w:rPr>
          <w:rFonts w:hint="eastAsia" w:ascii="Times" w:hAnsi="Times" w:eastAsia="宋体"/>
          <w:b w:val="0"/>
          <w:sz w:val="20"/>
          <w:lang w:val="en-US" w:eastAsia="zh-CN"/>
        </w:rPr>
        <w:t>,</w:t>
      </w:r>
      <w:r>
        <w:rPr>
          <w:rFonts w:hint="eastAsia" w:ascii="Times" w:hAnsi="Times" w:eastAsia="宋体"/>
          <w:b w:val="0"/>
          <w:sz w:val="20"/>
          <w:lang w:eastAsia="zh-CN"/>
        </w:rPr>
        <w:t xml:space="preserve"> </w:t>
      </w:r>
      <w:r>
        <w:rPr>
          <w:rFonts w:hint="eastAsia" w:ascii="Times" w:hAnsi="Times" w:eastAsia="宋体"/>
          <w:b w:val="0"/>
          <w:sz w:val="20"/>
          <w:lang w:val="en-US" w:eastAsia="zh-CN"/>
        </w:rPr>
        <w:t>WF on RRM requirements for NR_Mob_Ph4_Part1, Apple</w:t>
      </w:r>
    </w:p>
    <w:p w14:paraId="6DB5E693">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R4-2508282</w:t>
      </w:r>
      <w:r>
        <w:rPr>
          <w:rFonts w:hint="eastAsia" w:ascii="Times" w:hAnsi="Times" w:eastAsia="宋体"/>
          <w:b w:val="0"/>
          <w:sz w:val="20"/>
          <w:lang w:val="en-US" w:eastAsia="zh-CN"/>
        </w:rPr>
        <w:t>, WF on RRM requirements for NR_Mob_Ph4_Part1, Apple</w:t>
      </w:r>
    </w:p>
    <w:p w14:paraId="162311B2">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R4-2504965</w:t>
      </w:r>
      <w:r>
        <w:rPr>
          <w:rFonts w:hint="eastAsia" w:ascii="Times" w:hAnsi="Times" w:eastAsia="宋体"/>
          <w:b w:val="0"/>
          <w:sz w:val="20"/>
          <w:lang w:val="en-US" w:eastAsia="zh-CN"/>
        </w:rPr>
        <w:t>, WF on RRM requirements for NR_Mob_Ph4_Part1, Apple</w:t>
      </w:r>
    </w:p>
    <w:p w14:paraId="53BBFF74">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R4-2502601</w:t>
      </w:r>
      <w:r>
        <w:rPr>
          <w:rFonts w:hint="eastAsia" w:ascii="Times" w:hAnsi="Times" w:eastAsia="宋体"/>
          <w:b w:val="0"/>
          <w:sz w:val="20"/>
          <w:lang w:val="en-US" w:eastAsia="zh-CN"/>
        </w:rPr>
        <w:t>, WF on RRM requirements for NR_Mob_Ph4_Part1, Apple</w:t>
      </w:r>
    </w:p>
    <w:p w14:paraId="41FA408E">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R4-2420101</w:t>
      </w:r>
      <w:r>
        <w:rPr>
          <w:rFonts w:hint="eastAsia" w:ascii="Times" w:hAnsi="Times" w:eastAsia="宋体"/>
          <w:b w:val="0"/>
          <w:sz w:val="20"/>
          <w:lang w:val="en-US" w:eastAsia="zh-CN"/>
        </w:rPr>
        <w:t>, WF on RRM requirements for NR_Mob_Ph4_Part1, Apple</w:t>
      </w:r>
    </w:p>
    <w:p w14:paraId="73D8EA6D">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NR_Mob_Ph4_Part1</w:t>
      </w:r>
      <w:r>
        <w:rPr>
          <w:rFonts w:hint="eastAsia" w:ascii="Times" w:hAnsi="Times" w:eastAsia="宋体"/>
          <w:b w:val="0"/>
          <w:sz w:val="20"/>
          <w:lang w:val="en-US" w:eastAsia="zh-CN"/>
        </w:rPr>
        <w:t>, Apple</w:t>
      </w:r>
    </w:p>
    <w:p w14:paraId="2FFCE10F">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518264ED">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45D6D25B">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45121B7F">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7A46E657">
      <w:pPr>
        <w:pStyle w:val="18"/>
        <w:framePr w:wrap="auto" w:vAnchor="margin" w:hAnchor="text" w:yAlign="inline"/>
        <w:ind w:right="400"/>
        <w:jc w:val="both"/>
        <w:rPr>
          <w:rFonts w:hint="eastAsia" w:ascii="Times" w:hAnsi="Times" w:eastAsia="宋体"/>
          <w:b w:val="0"/>
          <w:sz w:val="20"/>
          <w:lang w:val="en-US" w:eastAsia="zh-CN"/>
        </w:rPr>
      </w:pPr>
    </w:p>
    <w:p w14:paraId="6138FC7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8B8"/>
    <w:rsid w:val="024F1D10"/>
    <w:rsid w:val="03C54999"/>
    <w:rsid w:val="061B2869"/>
    <w:rsid w:val="06DB0A8F"/>
    <w:rsid w:val="07195F0C"/>
    <w:rsid w:val="0A4B3E6F"/>
    <w:rsid w:val="0C811890"/>
    <w:rsid w:val="0DE65980"/>
    <w:rsid w:val="0DED4141"/>
    <w:rsid w:val="1097653D"/>
    <w:rsid w:val="114C53CF"/>
    <w:rsid w:val="12BE134B"/>
    <w:rsid w:val="17CF1E32"/>
    <w:rsid w:val="1A610400"/>
    <w:rsid w:val="1B55319F"/>
    <w:rsid w:val="1D245D5D"/>
    <w:rsid w:val="20716758"/>
    <w:rsid w:val="21FF66F1"/>
    <w:rsid w:val="227609CD"/>
    <w:rsid w:val="22EF5A05"/>
    <w:rsid w:val="23555288"/>
    <w:rsid w:val="23A45F21"/>
    <w:rsid w:val="2B6A5B72"/>
    <w:rsid w:val="2C5A7F66"/>
    <w:rsid w:val="30C469A5"/>
    <w:rsid w:val="30CC6932"/>
    <w:rsid w:val="330A1608"/>
    <w:rsid w:val="3A094EC7"/>
    <w:rsid w:val="3B78668C"/>
    <w:rsid w:val="3C8464D4"/>
    <w:rsid w:val="3DE6740A"/>
    <w:rsid w:val="409969B6"/>
    <w:rsid w:val="43D42973"/>
    <w:rsid w:val="44192E3A"/>
    <w:rsid w:val="443F297C"/>
    <w:rsid w:val="4585185F"/>
    <w:rsid w:val="45905890"/>
    <w:rsid w:val="473507D2"/>
    <w:rsid w:val="4ACD5D3A"/>
    <w:rsid w:val="4D34553A"/>
    <w:rsid w:val="4D9D16E6"/>
    <w:rsid w:val="52123968"/>
    <w:rsid w:val="528174BF"/>
    <w:rsid w:val="53AB07EA"/>
    <w:rsid w:val="54975669"/>
    <w:rsid w:val="54C2149E"/>
    <w:rsid w:val="56551307"/>
    <w:rsid w:val="5681017A"/>
    <w:rsid w:val="56BE73D2"/>
    <w:rsid w:val="5A6C76F1"/>
    <w:rsid w:val="5A84202D"/>
    <w:rsid w:val="5D2F6C90"/>
    <w:rsid w:val="5DD75D7F"/>
    <w:rsid w:val="618D4782"/>
    <w:rsid w:val="62B40F62"/>
    <w:rsid w:val="63A65A71"/>
    <w:rsid w:val="63D11CD0"/>
    <w:rsid w:val="63FF12A3"/>
    <w:rsid w:val="6514284A"/>
    <w:rsid w:val="66B81714"/>
    <w:rsid w:val="67360C57"/>
    <w:rsid w:val="6DE36C58"/>
    <w:rsid w:val="6F8A1747"/>
    <w:rsid w:val="708A15C7"/>
    <w:rsid w:val="723056E2"/>
    <w:rsid w:val="72901CD2"/>
    <w:rsid w:val="735F40D6"/>
    <w:rsid w:val="7523162A"/>
    <w:rsid w:val="78F4247E"/>
    <w:rsid w:val="7B09796A"/>
    <w:rsid w:val="7C401BE6"/>
    <w:rsid w:val="7D9A3785"/>
    <w:rsid w:val="7FC00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CMCC-Jingjing</cp:lastModifiedBy>
  <dcterms:modified xsi:type="dcterms:W3CDTF">2025-10-02T02:09:23Z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13EA236B3BF348BFA305056C5C1ABE48</vt:lpwstr>
  </property>
</Properties>
</file>